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166103" w14:textId="27D549CF" w:rsidR="009F3AD0" w:rsidRPr="009F3AD0" w:rsidRDefault="00342F3C" w:rsidP="00D3227D">
      <w:pPr>
        <w:rPr>
          <w:rFonts w:ascii="Century Gothic" w:hAnsi="Century Gothic"/>
        </w:rPr>
      </w:pPr>
      <w:r>
        <w:rPr>
          <w:rFonts w:ascii="Century Gothic" w:hAnsi="Century Gothic"/>
          <w:b/>
          <w:bCs/>
        </w:rPr>
        <w:t>EUA Countermeasures including covid vaccines and other EUA drugs and devices pose severe risk of harm to the public due to absence of any enforceable pharmaceutical regulations</w:t>
      </w:r>
      <w:r w:rsidR="000B5498">
        <w:rPr>
          <w:rFonts w:ascii="Century Gothic" w:hAnsi="Century Gothic"/>
          <w:b/>
          <w:bCs/>
        </w:rPr>
        <w:t>.</w:t>
      </w:r>
    </w:p>
    <w:p w14:paraId="035C349A" w14:textId="30A4AE9E" w:rsidR="00E618C8" w:rsidRDefault="00E618C8" w:rsidP="00D3227D">
      <w:pPr>
        <w:rPr>
          <w:rFonts w:ascii="Century Gothic" w:hAnsi="Century Gothic"/>
        </w:rPr>
      </w:pPr>
      <w:r w:rsidRPr="00E618C8">
        <w:rPr>
          <w:rFonts w:ascii="Century Gothic" w:hAnsi="Century Gothic"/>
        </w:rPr>
        <w:t xml:space="preserve">Pursuant to Section 564 of the FD&amp;C Act, as amended by PAHPRA, 2013, and the Supremacy Clause of the United States Constitution (Article VI, Clause 2), </w:t>
      </w:r>
      <w:r w:rsidR="000B5498">
        <w:rPr>
          <w:rFonts w:ascii="Century Gothic" w:hAnsi="Century Gothic"/>
        </w:rPr>
        <w:t>medical countermeasures have</w:t>
      </w:r>
      <w:r w:rsidRPr="00E618C8">
        <w:rPr>
          <w:rFonts w:ascii="Century Gothic" w:hAnsi="Century Gothic"/>
        </w:rPr>
        <w:t xml:space="preserve"> been exempted from testing using Good Laboratory Practices, Good Clinical Practice</w:t>
      </w:r>
      <w:r w:rsidR="00342F3C">
        <w:rPr>
          <w:rFonts w:ascii="Century Gothic" w:hAnsi="Century Gothic"/>
        </w:rPr>
        <w:t>s</w:t>
      </w:r>
      <w:r w:rsidRPr="00E618C8">
        <w:rPr>
          <w:rFonts w:ascii="Century Gothic" w:hAnsi="Century Gothic"/>
        </w:rPr>
        <w:t xml:space="preserve">, including informed consent. </w:t>
      </w:r>
      <w:r>
        <w:rPr>
          <w:rFonts w:ascii="Century Gothic" w:hAnsi="Century Gothic"/>
        </w:rPr>
        <w:t xml:space="preserve"> </w:t>
      </w:r>
    </w:p>
    <w:p w14:paraId="5BCDACDA" w14:textId="2C5E7AB8" w:rsidR="00C72166" w:rsidRDefault="00B015FD" w:rsidP="00D3227D">
      <w:pPr>
        <w:rPr>
          <w:rFonts w:ascii="Century Gothic" w:hAnsi="Century Gothic"/>
        </w:rPr>
      </w:pPr>
      <w:r w:rsidRPr="00B015FD">
        <w:rPr>
          <w:rFonts w:ascii="Century Gothic" w:hAnsi="Century Gothic"/>
        </w:rPr>
        <w:t xml:space="preserve">Under federal law, FDA must </w:t>
      </w:r>
      <w:r w:rsidR="00342F3C">
        <w:rPr>
          <w:rFonts w:ascii="Century Gothic" w:hAnsi="Century Gothic"/>
        </w:rPr>
        <w:t xml:space="preserve">formally </w:t>
      </w:r>
      <w:r w:rsidRPr="00B015FD">
        <w:rPr>
          <w:rFonts w:ascii="Century Gothic" w:hAnsi="Century Gothic"/>
        </w:rPr>
        <w:t xml:space="preserve">approve any new </w:t>
      </w:r>
      <w:r w:rsidR="00342F3C">
        <w:rPr>
          <w:rFonts w:ascii="Century Gothic" w:hAnsi="Century Gothic"/>
        </w:rPr>
        <w:t xml:space="preserve">investigational </w:t>
      </w:r>
      <w:r w:rsidRPr="00B015FD">
        <w:rPr>
          <w:rFonts w:ascii="Century Gothic" w:hAnsi="Century Gothic"/>
        </w:rPr>
        <w:t xml:space="preserve">drug product prior to a manufacturer </w:t>
      </w:r>
      <w:r>
        <w:rPr>
          <w:rFonts w:ascii="Century Gothic" w:hAnsi="Century Gothic"/>
        </w:rPr>
        <w:t>introducing it into interstate commerce</w:t>
      </w:r>
      <w:r w:rsidRPr="00B015FD">
        <w:rPr>
          <w:rFonts w:ascii="Century Gothic" w:hAnsi="Century Gothic"/>
        </w:rPr>
        <w:t>.</w:t>
      </w:r>
      <w:r>
        <w:rPr>
          <w:rStyle w:val="FootnoteReference"/>
          <w:rFonts w:ascii="Century Gothic" w:hAnsi="Century Gothic"/>
        </w:rPr>
        <w:footnoteReference w:id="1"/>
      </w:r>
      <w:r w:rsidRPr="00B015FD">
        <w:rPr>
          <w:rFonts w:ascii="Century Gothic" w:hAnsi="Century Gothic"/>
        </w:rPr>
        <w:t xml:space="preserve"> </w:t>
      </w:r>
      <w:r>
        <w:rPr>
          <w:rFonts w:ascii="Century Gothic" w:hAnsi="Century Gothic"/>
        </w:rPr>
        <w:t xml:space="preserve"> </w:t>
      </w:r>
      <w:r w:rsidRPr="00B015FD">
        <w:rPr>
          <w:rFonts w:ascii="Century Gothic" w:hAnsi="Century Gothic"/>
        </w:rPr>
        <w:t xml:space="preserve">This process </w:t>
      </w:r>
      <w:r>
        <w:rPr>
          <w:rFonts w:ascii="Century Gothic" w:hAnsi="Century Gothic"/>
        </w:rPr>
        <w:t xml:space="preserve">requires manufacturer to open an Investigational New Drug application and obtain an exemption from the FDA for </w:t>
      </w:r>
      <w:r w:rsidR="00C72166">
        <w:rPr>
          <w:rFonts w:ascii="Century Gothic" w:hAnsi="Century Gothic"/>
        </w:rPr>
        <w:t xml:space="preserve">its </w:t>
      </w:r>
      <w:r>
        <w:rPr>
          <w:rFonts w:ascii="Century Gothic" w:hAnsi="Century Gothic"/>
        </w:rPr>
        <w:t xml:space="preserve">use in </w:t>
      </w:r>
      <w:r w:rsidR="00C72166">
        <w:rPr>
          <w:rFonts w:ascii="Century Gothic" w:hAnsi="Century Gothic"/>
        </w:rPr>
        <w:t xml:space="preserve">regulated </w:t>
      </w:r>
      <w:r>
        <w:rPr>
          <w:rFonts w:ascii="Century Gothic" w:hAnsi="Century Gothic"/>
        </w:rPr>
        <w:t xml:space="preserve">clinical research (trials).  This regulated process is therefore referred to as an “investigational” regulatory pathway.  It </w:t>
      </w:r>
      <w:r w:rsidRPr="00B015FD">
        <w:rPr>
          <w:rFonts w:ascii="Century Gothic" w:hAnsi="Century Gothic"/>
        </w:rPr>
        <w:t xml:space="preserve">requires a manufacturer to </w:t>
      </w:r>
      <w:r>
        <w:rPr>
          <w:rFonts w:ascii="Century Gothic" w:hAnsi="Century Gothic"/>
        </w:rPr>
        <w:t>conduct regulated clinical research (trials) under the IND, obtaining Institutional Review Board’s</w:t>
      </w:r>
      <w:r w:rsidR="00C72166">
        <w:rPr>
          <w:rFonts w:ascii="Century Gothic" w:hAnsi="Century Gothic"/>
        </w:rPr>
        <w:t xml:space="preserve"> (IRB)</w:t>
      </w:r>
      <w:r>
        <w:rPr>
          <w:rFonts w:ascii="Century Gothic" w:hAnsi="Century Gothic"/>
        </w:rPr>
        <w:t xml:space="preserve"> approval for clinical trial protocols</w:t>
      </w:r>
      <w:r w:rsidR="00C72166">
        <w:rPr>
          <w:rFonts w:ascii="Century Gothic" w:hAnsi="Century Gothic"/>
        </w:rPr>
        <w:t>, independent safety monitoring oversight,</w:t>
      </w:r>
      <w:r>
        <w:rPr>
          <w:rFonts w:ascii="Century Gothic" w:hAnsi="Century Gothic"/>
        </w:rPr>
        <w:t xml:space="preserve"> and informed consent from clinical trial volunteers.  </w:t>
      </w:r>
      <w:r w:rsidR="00C72166">
        <w:rPr>
          <w:rFonts w:ascii="Century Gothic" w:hAnsi="Century Gothic"/>
        </w:rPr>
        <w:t>In addition, manufacture of the drugs and biologics subject to the investigational status is regulated by the current Good Manufacturing practices (cGMP)</w:t>
      </w:r>
      <w:r w:rsidR="00C72166">
        <w:rPr>
          <w:rStyle w:val="FootnoteReference"/>
          <w:rFonts w:ascii="Century Gothic" w:hAnsi="Century Gothic"/>
        </w:rPr>
        <w:footnoteReference w:id="2"/>
      </w:r>
    </w:p>
    <w:p w14:paraId="596C5ECA" w14:textId="575087B0" w:rsidR="00F54CA1" w:rsidRDefault="00692B65" w:rsidP="00D3227D">
      <w:pPr>
        <w:rPr>
          <w:rFonts w:ascii="Century Gothic" w:hAnsi="Century Gothic"/>
        </w:rPr>
      </w:pPr>
      <w:r>
        <w:rPr>
          <w:rFonts w:ascii="Century Gothic" w:hAnsi="Century Gothic"/>
        </w:rPr>
        <w:t xml:space="preserve">EUA </w:t>
      </w:r>
      <w:r w:rsidR="004A68D7">
        <w:rPr>
          <w:rFonts w:ascii="Century Gothic" w:hAnsi="Century Gothic"/>
        </w:rPr>
        <w:t>Medical Countermeasures are</w:t>
      </w:r>
      <w:r w:rsidR="00B015FD" w:rsidRPr="00B015FD">
        <w:rPr>
          <w:rFonts w:ascii="Century Gothic" w:hAnsi="Century Gothic"/>
        </w:rPr>
        <w:t xml:space="preserve"> radically different</w:t>
      </w:r>
      <w:r w:rsidR="00C72166">
        <w:rPr>
          <w:rFonts w:ascii="Century Gothic" w:hAnsi="Century Gothic"/>
        </w:rPr>
        <w:t xml:space="preserve">, </w:t>
      </w:r>
      <w:r w:rsidR="00C72166" w:rsidRPr="00C72166">
        <w:rPr>
          <w:rFonts w:ascii="Century Gothic" w:hAnsi="Century Gothic"/>
          <w:b/>
          <w:bCs/>
          <w:i/>
          <w:iCs/>
        </w:rPr>
        <w:t>non-investigational</w:t>
      </w:r>
      <w:r w:rsidR="00B015FD" w:rsidRPr="00B015FD">
        <w:rPr>
          <w:rFonts w:ascii="Century Gothic" w:hAnsi="Century Gothic"/>
        </w:rPr>
        <w:t xml:space="preserve"> drug</w:t>
      </w:r>
      <w:r w:rsidR="004A68D7">
        <w:rPr>
          <w:rFonts w:ascii="Century Gothic" w:hAnsi="Century Gothic"/>
        </w:rPr>
        <w:t>s, biologics and devices deployed under FDA</w:t>
      </w:r>
      <w:r>
        <w:rPr>
          <w:rFonts w:ascii="Century Gothic" w:hAnsi="Century Gothic"/>
        </w:rPr>
        <w:t>’</w:t>
      </w:r>
      <w:r w:rsidR="004A68D7">
        <w:rPr>
          <w:rFonts w:ascii="Century Gothic" w:hAnsi="Century Gothic"/>
        </w:rPr>
        <w:t xml:space="preserve">s </w:t>
      </w:r>
      <w:r w:rsidR="00B015FD" w:rsidRPr="00B015FD">
        <w:rPr>
          <w:rFonts w:ascii="Century Gothic" w:hAnsi="Century Gothic"/>
        </w:rPr>
        <w:t>authorization power known as the “Emergency Use Authorization” (EUA) process</w:t>
      </w:r>
      <w:r>
        <w:rPr>
          <w:rStyle w:val="FootnoteReference"/>
          <w:rFonts w:ascii="Century Gothic" w:hAnsi="Century Gothic"/>
        </w:rPr>
        <w:footnoteReference w:id="3"/>
      </w:r>
      <w:r w:rsidR="00B015FD" w:rsidRPr="00B015FD">
        <w:rPr>
          <w:rFonts w:ascii="Century Gothic" w:hAnsi="Century Gothic"/>
        </w:rPr>
        <w:t xml:space="preserve">. </w:t>
      </w:r>
      <w:r w:rsidR="00C72166">
        <w:rPr>
          <w:rFonts w:ascii="Century Gothic" w:hAnsi="Century Gothic"/>
        </w:rPr>
        <w:t xml:space="preserve"> </w:t>
      </w:r>
      <w:r w:rsidR="00F54CA1">
        <w:rPr>
          <w:rFonts w:ascii="Century Gothic" w:hAnsi="Century Gothic"/>
        </w:rPr>
        <w:t xml:space="preserve">  </w:t>
      </w:r>
    </w:p>
    <w:p w14:paraId="2FFA5713" w14:textId="5683B777" w:rsidR="000F1659" w:rsidRDefault="00B015FD" w:rsidP="00D3227D">
      <w:pPr>
        <w:rPr>
          <w:rFonts w:ascii="Century Gothic" w:hAnsi="Century Gothic"/>
        </w:rPr>
      </w:pPr>
      <w:r w:rsidRPr="00B015FD">
        <w:rPr>
          <w:rFonts w:ascii="Century Gothic" w:hAnsi="Century Gothic"/>
        </w:rPr>
        <w:t>The EUA</w:t>
      </w:r>
      <w:r w:rsidR="004A68D7">
        <w:rPr>
          <w:rFonts w:ascii="Century Gothic" w:hAnsi="Century Gothic"/>
        </w:rPr>
        <w:t xml:space="preserve"> </w:t>
      </w:r>
      <w:r w:rsidR="00483932">
        <w:rPr>
          <w:rFonts w:ascii="Century Gothic" w:hAnsi="Century Gothic"/>
        </w:rPr>
        <w:t xml:space="preserve">pathway </w:t>
      </w:r>
      <w:r w:rsidRPr="00B015FD">
        <w:rPr>
          <w:rFonts w:ascii="Century Gothic" w:hAnsi="Century Gothic"/>
        </w:rPr>
        <w:t>is used</w:t>
      </w:r>
      <w:r w:rsidR="002B5AA3">
        <w:rPr>
          <w:rFonts w:ascii="Century Gothic" w:hAnsi="Century Gothic"/>
        </w:rPr>
        <w:t xml:space="preserve"> </w:t>
      </w:r>
      <w:r w:rsidRPr="00B015FD">
        <w:rPr>
          <w:rFonts w:ascii="Century Gothic" w:hAnsi="Century Gothic"/>
        </w:rPr>
        <w:t>only when the United States Secretary of Health and Human Services declares an emergency</w:t>
      </w:r>
      <w:r w:rsidR="004A68D7">
        <w:rPr>
          <w:rStyle w:val="FootnoteReference"/>
          <w:rFonts w:ascii="Century Gothic" w:hAnsi="Century Gothic"/>
        </w:rPr>
        <w:footnoteReference w:id="4"/>
      </w:r>
      <w:r w:rsidRPr="00B015FD">
        <w:rPr>
          <w:rFonts w:ascii="Century Gothic" w:hAnsi="Century Gothic"/>
        </w:rPr>
        <w:t xml:space="preserve">. </w:t>
      </w:r>
    </w:p>
    <w:p w14:paraId="35B77861" w14:textId="6C182D3B" w:rsidR="00A94DCF" w:rsidRDefault="00B015FD" w:rsidP="00D3227D">
      <w:pPr>
        <w:rPr>
          <w:rFonts w:ascii="Century Gothic" w:hAnsi="Century Gothic"/>
        </w:rPr>
      </w:pPr>
      <w:r w:rsidRPr="00B015FD">
        <w:rPr>
          <w:rFonts w:ascii="Century Gothic" w:hAnsi="Century Gothic"/>
        </w:rPr>
        <w:t xml:space="preserve">By law, the EUA </w:t>
      </w:r>
      <w:r w:rsidR="00483932">
        <w:rPr>
          <w:rFonts w:ascii="Century Gothic" w:hAnsi="Century Gothic"/>
        </w:rPr>
        <w:t>status</w:t>
      </w:r>
      <w:r w:rsidRPr="00B015FD">
        <w:rPr>
          <w:rFonts w:ascii="Century Gothic" w:hAnsi="Century Gothic"/>
        </w:rPr>
        <w:t xml:space="preserve"> </w:t>
      </w:r>
      <w:r w:rsidR="00A94DCF">
        <w:rPr>
          <w:rFonts w:ascii="Century Gothic" w:hAnsi="Century Gothic"/>
        </w:rPr>
        <w:t>is non-investigational</w:t>
      </w:r>
      <w:r w:rsidR="00A94DCF">
        <w:rPr>
          <w:rStyle w:val="FootnoteReference"/>
          <w:rFonts w:ascii="Century Gothic" w:hAnsi="Century Gothic"/>
        </w:rPr>
        <w:footnoteReference w:id="5"/>
      </w:r>
      <w:r w:rsidR="00A94DCF">
        <w:rPr>
          <w:rFonts w:ascii="Century Gothic" w:hAnsi="Century Gothic"/>
        </w:rPr>
        <w:t xml:space="preserve">: while the manufacturers may choose and FDA may ask to undertake some of the activities typically expected from an investigational clinical trial and manufacturing validation process, none of the typical </w:t>
      </w:r>
      <w:r w:rsidR="00483932">
        <w:rPr>
          <w:rFonts w:ascii="Century Gothic" w:hAnsi="Century Gothic"/>
        </w:rPr>
        <w:t xml:space="preserve">pharmaceutical </w:t>
      </w:r>
      <w:r w:rsidR="00A94DCF">
        <w:rPr>
          <w:rFonts w:ascii="Century Gothic" w:hAnsi="Century Gothic"/>
        </w:rPr>
        <w:t xml:space="preserve">regulatory standards are applicable in an enforceable way.  </w:t>
      </w:r>
    </w:p>
    <w:p w14:paraId="2D575CB9" w14:textId="1BC72D45" w:rsidR="00B21765" w:rsidRDefault="00A94DCF" w:rsidP="00D3227D">
      <w:pPr>
        <w:rPr>
          <w:rFonts w:ascii="Century Gothic" w:hAnsi="Century Gothic"/>
        </w:rPr>
      </w:pPr>
      <w:r w:rsidRPr="00A94DCF">
        <w:rPr>
          <w:rFonts w:ascii="Century Gothic" w:hAnsi="Century Gothic"/>
        </w:rPr>
        <w:t xml:space="preserve">FDA has the discretion to </w:t>
      </w:r>
      <w:r w:rsidR="00B21765">
        <w:rPr>
          <w:rFonts w:ascii="Century Gothic" w:hAnsi="Century Gothic"/>
        </w:rPr>
        <w:t>issue</w:t>
      </w:r>
      <w:r w:rsidRPr="00A94DCF">
        <w:rPr>
          <w:rFonts w:ascii="Century Gothic" w:hAnsi="Century Gothic"/>
        </w:rPr>
        <w:t xml:space="preserve"> an EUA if</w:t>
      </w:r>
      <w:r w:rsidR="00923D08">
        <w:rPr>
          <w:rFonts w:ascii="Century Gothic" w:hAnsi="Century Gothic"/>
        </w:rPr>
        <w:t>,</w:t>
      </w:r>
      <w:r w:rsidRPr="00A94DCF">
        <w:rPr>
          <w:rFonts w:ascii="Century Gothic" w:hAnsi="Century Gothic"/>
        </w:rPr>
        <w:t xml:space="preserve"> </w:t>
      </w:r>
      <w:r w:rsidR="00923D08">
        <w:rPr>
          <w:rFonts w:ascii="Century Gothic" w:hAnsi="Century Gothic"/>
        </w:rPr>
        <w:t>in the sole opinion of the HHS secretary, the</w:t>
      </w:r>
      <w:r w:rsidRPr="00A94DCF">
        <w:rPr>
          <w:rFonts w:ascii="Century Gothic" w:hAnsi="Century Gothic"/>
        </w:rPr>
        <w:t xml:space="preserve"> product “may be effective” in treating the relevant disease or condition</w:t>
      </w:r>
      <w:r w:rsidR="00B21765">
        <w:rPr>
          <w:rStyle w:val="FootnoteReference"/>
          <w:rFonts w:ascii="Century Gothic" w:hAnsi="Century Gothic"/>
        </w:rPr>
        <w:footnoteReference w:id="6"/>
      </w:r>
      <w:r w:rsidRPr="00A94DCF">
        <w:rPr>
          <w:rFonts w:ascii="Century Gothic" w:hAnsi="Century Gothic"/>
        </w:rPr>
        <w:t xml:space="preserve">. </w:t>
      </w:r>
      <w:r w:rsidR="00B21765">
        <w:rPr>
          <w:rFonts w:ascii="Century Gothic" w:hAnsi="Century Gothic"/>
        </w:rPr>
        <w:t xml:space="preserve">  No other criteria for approval apply in an enforceable way.  </w:t>
      </w:r>
      <w:r w:rsidR="00923D08">
        <w:rPr>
          <w:rFonts w:ascii="Century Gothic" w:hAnsi="Century Gothic"/>
        </w:rPr>
        <w:t xml:space="preserve">There is no strict requirement to conduct clinical trials prior to authorization.  In addition, due to the unenforceability of </w:t>
      </w:r>
      <w:r w:rsidR="00923D08">
        <w:rPr>
          <w:rFonts w:ascii="Century Gothic" w:hAnsi="Century Gothic"/>
        </w:rPr>
        <w:lastRenderedPageBreak/>
        <w:t>the pharmaceutical regulations and non-investigational status of the product, regulated human clinical trials are not legally possible, as none of the clinical trial human subject protections can be ensured.</w:t>
      </w:r>
      <w:r w:rsidR="00B21765">
        <w:rPr>
          <w:rFonts w:ascii="Century Gothic" w:hAnsi="Century Gothic"/>
        </w:rPr>
        <w:t xml:space="preserve">  </w:t>
      </w:r>
    </w:p>
    <w:p w14:paraId="515C882C" w14:textId="7A2C8CE6" w:rsidR="00A94DCF" w:rsidRDefault="00A94DCF" w:rsidP="00D3227D">
      <w:pPr>
        <w:rPr>
          <w:rFonts w:ascii="Century Gothic" w:hAnsi="Century Gothic"/>
        </w:rPr>
      </w:pPr>
      <w:r w:rsidRPr="00A94DCF">
        <w:rPr>
          <w:rFonts w:ascii="Century Gothic" w:hAnsi="Century Gothic"/>
        </w:rPr>
        <w:t>FDA will approve EUA products on incomplete</w:t>
      </w:r>
      <w:r w:rsidR="00923D08">
        <w:rPr>
          <w:rFonts w:ascii="Century Gothic" w:hAnsi="Century Gothic"/>
        </w:rPr>
        <w:t>/non-existent</w:t>
      </w:r>
      <w:r w:rsidRPr="00A94DCF">
        <w:rPr>
          <w:rFonts w:ascii="Century Gothic" w:hAnsi="Century Gothic"/>
        </w:rPr>
        <w:t xml:space="preserve"> information </w:t>
      </w:r>
      <w:r w:rsidR="00923D08">
        <w:rPr>
          <w:rFonts w:ascii="Century Gothic" w:hAnsi="Century Gothic"/>
        </w:rPr>
        <w:t>based on an opinion that</w:t>
      </w:r>
      <w:r w:rsidR="006D1027" w:rsidRPr="00A94DCF">
        <w:rPr>
          <w:rFonts w:ascii="Century Gothic" w:hAnsi="Century Gothic"/>
        </w:rPr>
        <w:t xml:space="preserve"> “known and potential benefit of the product” </w:t>
      </w:r>
      <w:r w:rsidR="00923D08">
        <w:rPr>
          <w:rFonts w:ascii="Century Gothic" w:hAnsi="Century Gothic"/>
        </w:rPr>
        <w:t>may</w:t>
      </w:r>
      <w:r w:rsidR="006D1027" w:rsidRPr="00A94DCF">
        <w:rPr>
          <w:rFonts w:ascii="Century Gothic" w:hAnsi="Century Gothic"/>
        </w:rPr>
        <w:t xml:space="preserve"> “outweigh[s] the known and potential risks”</w:t>
      </w:r>
      <w:r w:rsidR="006D1027">
        <w:rPr>
          <w:rStyle w:val="FootnoteReference"/>
          <w:rFonts w:ascii="Century Gothic" w:hAnsi="Century Gothic"/>
        </w:rPr>
        <w:footnoteReference w:id="7"/>
      </w:r>
      <w:r w:rsidR="006D1027">
        <w:rPr>
          <w:rFonts w:ascii="Century Gothic" w:hAnsi="Century Gothic"/>
        </w:rPr>
        <w:t xml:space="preserve"> </w:t>
      </w:r>
      <w:r w:rsidRPr="00A94DCF">
        <w:rPr>
          <w:rFonts w:ascii="Century Gothic" w:hAnsi="Century Gothic"/>
        </w:rPr>
        <w:t xml:space="preserve">and considers it unlikely that “comprehensive effectiveness data” will be available before an EUA grant. </w:t>
      </w:r>
      <w:r w:rsidR="0066229F">
        <w:rPr>
          <w:rFonts w:ascii="Century Gothic" w:hAnsi="Century Gothic"/>
        </w:rPr>
        <w:t xml:space="preserve"> </w:t>
      </w:r>
      <w:r w:rsidRPr="00A94DCF">
        <w:rPr>
          <w:rFonts w:ascii="Century Gothic" w:hAnsi="Century Gothic"/>
        </w:rPr>
        <w:t>In</w:t>
      </w:r>
      <w:r w:rsidR="0066229F">
        <w:rPr>
          <w:rFonts w:ascii="Century Gothic" w:hAnsi="Century Gothic"/>
        </w:rPr>
        <w:t xml:space="preserve"> contrast, for an investigational drug (under normal regulatory </w:t>
      </w:r>
      <w:r w:rsidR="006D1027">
        <w:rPr>
          <w:rFonts w:ascii="Century Gothic" w:hAnsi="Century Gothic"/>
        </w:rPr>
        <w:t xml:space="preserve">approval </w:t>
      </w:r>
      <w:r w:rsidR="0066229F">
        <w:rPr>
          <w:rFonts w:ascii="Century Gothic" w:hAnsi="Century Gothic"/>
        </w:rPr>
        <w:t>process)</w:t>
      </w:r>
      <w:r w:rsidRPr="00A94DCF">
        <w:rPr>
          <w:rFonts w:ascii="Century Gothic" w:hAnsi="Century Gothic"/>
        </w:rPr>
        <w:t xml:space="preserve"> </w:t>
      </w:r>
      <w:r w:rsidR="0066229F">
        <w:rPr>
          <w:rFonts w:ascii="Century Gothic" w:hAnsi="Century Gothic"/>
        </w:rPr>
        <w:t>the</w:t>
      </w:r>
      <w:r w:rsidRPr="00A94DCF">
        <w:rPr>
          <w:rFonts w:ascii="Century Gothic" w:hAnsi="Century Gothic"/>
        </w:rPr>
        <w:t xml:space="preserve"> FDA “shall” deny approval if the applicant “do[es] not show that such drug is safe.”</w:t>
      </w:r>
      <w:r w:rsidR="0066229F">
        <w:rPr>
          <w:rStyle w:val="FootnoteReference"/>
          <w:rFonts w:ascii="Century Gothic" w:hAnsi="Century Gothic"/>
        </w:rPr>
        <w:footnoteReference w:id="8"/>
      </w:r>
      <w:r w:rsidRPr="00A94DCF">
        <w:rPr>
          <w:rFonts w:ascii="Century Gothic" w:hAnsi="Century Gothic"/>
        </w:rPr>
        <w:t xml:space="preserve">  </w:t>
      </w:r>
    </w:p>
    <w:p w14:paraId="4A464481" w14:textId="4CB549C7" w:rsidR="00B015FD" w:rsidRDefault="00A67967" w:rsidP="00D3227D">
      <w:pPr>
        <w:rPr>
          <w:rFonts w:ascii="Century Gothic" w:hAnsi="Century Gothic"/>
        </w:rPr>
      </w:pPr>
      <w:r>
        <w:rPr>
          <w:rFonts w:ascii="Century Gothic" w:hAnsi="Century Gothic"/>
        </w:rPr>
        <w:t>Therefore, the EUA status of a</w:t>
      </w:r>
      <w:r w:rsidR="00923D08">
        <w:rPr>
          <w:rFonts w:ascii="Century Gothic" w:hAnsi="Century Gothic"/>
        </w:rPr>
        <w:t xml:space="preserve"> medical countermeasure</w:t>
      </w:r>
      <w:r>
        <w:rPr>
          <w:rFonts w:ascii="Century Gothic" w:hAnsi="Century Gothic"/>
        </w:rPr>
        <w:t xml:space="preserve"> precludes collection of the regulated clinical trial data and thus precludes reliable, valid scientific knowledge of risks and benefits associated with the EUA Countermeasure while it remains non-investigational.</w:t>
      </w:r>
    </w:p>
    <w:p w14:paraId="52DC39F8" w14:textId="03900EB4" w:rsidR="00451060" w:rsidRDefault="00451060" w:rsidP="00D3227D">
      <w:pPr>
        <w:rPr>
          <w:rFonts w:ascii="Century Gothic" w:hAnsi="Century Gothic"/>
        </w:rPr>
      </w:pPr>
      <w:r>
        <w:rPr>
          <w:rFonts w:ascii="Century Gothic" w:hAnsi="Century Gothic"/>
        </w:rPr>
        <w:t>There is no strict requirement for an IND, nor</w:t>
      </w:r>
      <w:r w:rsidR="00923D08">
        <w:rPr>
          <w:rFonts w:ascii="Century Gothic" w:hAnsi="Century Gothic"/>
        </w:rPr>
        <w:t xml:space="preserve"> institutional review board (</w:t>
      </w:r>
      <w:r>
        <w:rPr>
          <w:rFonts w:ascii="Century Gothic" w:hAnsi="Century Gothic"/>
        </w:rPr>
        <w:t>IRB</w:t>
      </w:r>
      <w:r w:rsidR="00923D08">
        <w:rPr>
          <w:rFonts w:ascii="Century Gothic" w:hAnsi="Century Gothic"/>
        </w:rPr>
        <w:t>)</w:t>
      </w:r>
      <w:r>
        <w:rPr>
          <w:rFonts w:ascii="Century Gothic" w:hAnsi="Century Gothic"/>
        </w:rPr>
        <w:t xml:space="preserve"> approval of a clinical trial protocol and informed consent forms. </w:t>
      </w:r>
      <w:r w:rsidR="00923D08">
        <w:rPr>
          <w:rFonts w:ascii="Century Gothic" w:hAnsi="Century Gothic"/>
        </w:rPr>
        <w:t xml:space="preserve"> Thus,</w:t>
      </w:r>
      <w:r>
        <w:rPr>
          <w:rFonts w:ascii="Century Gothic" w:hAnsi="Century Gothic"/>
        </w:rPr>
        <w:t xml:space="preserve"> the EUA process </w:t>
      </w:r>
      <w:r w:rsidR="00923D08">
        <w:rPr>
          <w:rFonts w:ascii="Century Gothic" w:hAnsi="Century Gothic"/>
        </w:rPr>
        <w:t>makes it impossible to obtain</w:t>
      </w:r>
      <w:r>
        <w:rPr>
          <w:rFonts w:ascii="Century Gothic" w:hAnsi="Century Gothic"/>
        </w:rPr>
        <w:t xml:space="preserve"> meaningful informed consent from the recipients of the product.  </w:t>
      </w:r>
    </w:p>
    <w:p w14:paraId="0DCFDB3F" w14:textId="3A05D370" w:rsidR="00D60A14" w:rsidRDefault="00D60A14" w:rsidP="00D3227D">
      <w:pPr>
        <w:rPr>
          <w:rFonts w:ascii="Century Gothic" w:hAnsi="Century Gothic"/>
        </w:rPr>
      </w:pPr>
      <w:r w:rsidRPr="00D60A14">
        <w:rPr>
          <w:rFonts w:ascii="Century Gothic" w:hAnsi="Century Gothic"/>
        </w:rPr>
        <w:t xml:space="preserve">Congress mandated that FDA directly inform health care professionals </w:t>
      </w:r>
      <w:r>
        <w:rPr>
          <w:rFonts w:ascii="Century Gothic" w:hAnsi="Century Gothic"/>
        </w:rPr>
        <w:t>and product recipients</w:t>
      </w:r>
      <w:r w:rsidRPr="00D60A14">
        <w:rPr>
          <w:rFonts w:ascii="Century Gothic" w:hAnsi="Century Gothic"/>
        </w:rPr>
        <w:t xml:space="preserve"> of any “significant known and potential benefits and risks.”</w:t>
      </w:r>
      <w:r>
        <w:rPr>
          <w:rStyle w:val="FootnoteReference"/>
          <w:rFonts w:ascii="Century Gothic" w:hAnsi="Century Gothic"/>
        </w:rPr>
        <w:footnoteReference w:id="9"/>
      </w:r>
      <w:r w:rsidRPr="00D60A14">
        <w:rPr>
          <w:rFonts w:ascii="Century Gothic" w:hAnsi="Century Gothic"/>
        </w:rPr>
        <w:t xml:space="preserve">  </w:t>
      </w:r>
      <w:r>
        <w:rPr>
          <w:rFonts w:ascii="Century Gothic" w:hAnsi="Century Gothic"/>
        </w:rPr>
        <w:t xml:space="preserve">However, given that formal regulated clinical trials are neither required nor possible for a non-investigational EUA product, there is no effective way to collect and collate reliable and scientifically valid information on risks and benefits of an EUA, thus making the informed consent mandated by Congress meaningless.  </w:t>
      </w:r>
    </w:p>
    <w:p w14:paraId="23B2955B" w14:textId="2D3CAF35" w:rsidR="009639C1" w:rsidRPr="00C959FE" w:rsidRDefault="00C959FE" w:rsidP="00D3227D">
      <w:pPr>
        <w:rPr>
          <w:rFonts w:ascii="Century Gothic" w:hAnsi="Century Gothic"/>
        </w:rPr>
      </w:pPr>
      <w:r>
        <w:rPr>
          <w:rFonts w:ascii="Century Gothic" w:hAnsi="Century Gothic"/>
        </w:rPr>
        <w:t>Furthermore, t</w:t>
      </w:r>
      <w:r w:rsidR="00E3781D" w:rsidRPr="00C959FE">
        <w:rPr>
          <w:rFonts w:ascii="Century Gothic" w:hAnsi="Century Gothic"/>
        </w:rPr>
        <w:t xml:space="preserve">here are no required standards for quality-control in manufacturing; no inspections of manufacturing procedures; </w:t>
      </w:r>
      <w:proofErr w:type="gramStart"/>
      <w:r w:rsidR="00E3781D" w:rsidRPr="00C959FE">
        <w:rPr>
          <w:rFonts w:ascii="Century Gothic" w:hAnsi="Century Gothic"/>
        </w:rPr>
        <w:t xml:space="preserve">no </w:t>
      </w:r>
      <w:r>
        <w:rPr>
          <w:rFonts w:ascii="Century Gothic" w:hAnsi="Century Gothic"/>
        </w:rPr>
        <w:t>lot-</w:t>
      </w:r>
      <w:proofErr w:type="gramEnd"/>
      <w:r>
        <w:rPr>
          <w:rFonts w:ascii="Century Gothic" w:hAnsi="Century Gothic"/>
        </w:rPr>
        <w:t xml:space="preserve">release testing and no </w:t>
      </w:r>
      <w:r w:rsidR="00E3781D" w:rsidRPr="00C959FE">
        <w:rPr>
          <w:rFonts w:ascii="Century Gothic" w:hAnsi="Century Gothic"/>
        </w:rPr>
        <w:t xml:space="preserve">prohibition on wide variability among lots; no prohibition on adulteration; and no required compliance with Current Good Manufacturing Practices. </w:t>
      </w:r>
      <w:r>
        <w:rPr>
          <w:rFonts w:ascii="Century Gothic" w:hAnsi="Century Gothic"/>
        </w:rPr>
        <w:t xml:space="preserve"> </w:t>
      </w:r>
      <w:r w:rsidR="00E3781D" w:rsidRPr="00C959FE">
        <w:rPr>
          <w:rFonts w:ascii="Century Gothic" w:hAnsi="Century Gothic"/>
        </w:rPr>
        <w:t>EUA products, even though unregulated and non-standardized, “shall not be deemed adulterated or misbranded.”</w:t>
      </w:r>
      <w:r>
        <w:rPr>
          <w:rStyle w:val="FootnoteReference"/>
          <w:rFonts w:ascii="Century Gothic" w:hAnsi="Century Gothic"/>
        </w:rPr>
        <w:footnoteReference w:id="10"/>
      </w:r>
      <w:r w:rsidR="00E3781D" w:rsidRPr="00C959FE">
        <w:rPr>
          <w:rFonts w:ascii="Century Gothic" w:hAnsi="Century Gothic"/>
        </w:rPr>
        <w:t> </w:t>
      </w:r>
    </w:p>
    <w:p w14:paraId="2A16F705" w14:textId="3C37C528" w:rsidR="00FD0AB1" w:rsidRPr="00FD0AB1" w:rsidRDefault="00FD0AB1" w:rsidP="00FD0AB1">
      <w:pPr>
        <w:rPr>
          <w:rFonts w:ascii="Century Gothic" w:hAnsi="Century Gothic"/>
          <w:b/>
          <w:bCs/>
        </w:rPr>
      </w:pPr>
      <w:r>
        <w:rPr>
          <w:rFonts w:ascii="Century Gothic" w:hAnsi="Century Gothic"/>
          <w:b/>
          <w:bCs/>
        </w:rPr>
        <w:t>In summary, t</w:t>
      </w:r>
      <w:r w:rsidRPr="00FD0AB1">
        <w:rPr>
          <w:rFonts w:ascii="Century Gothic" w:hAnsi="Century Gothic"/>
          <w:b/>
          <w:bCs/>
        </w:rPr>
        <w:t xml:space="preserve">he process </w:t>
      </w:r>
      <w:r w:rsidR="00B16AB2">
        <w:rPr>
          <w:rFonts w:ascii="Century Gothic" w:hAnsi="Century Gothic"/>
          <w:b/>
          <w:bCs/>
        </w:rPr>
        <w:t>by</w:t>
      </w:r>
      <w:r w:rsidRPr="00FD0AB1">
        <w:rPr>
          <w:rFonts w:ascii="Century Gothic" w:hAnsi="Century Gothic"/>
          <w:b/>
          <w:bCs/>
        </w:rPr>
        <w:t xml:space="preserve"> which the EUA products enter interstate commerce and </w:t>
      </w:r>
      <w:r>
        <w:rPr>
          <w:rFonts w:ascii="Century Gothic" w:hAnsi="Century Gothic"/>
          <w:b/>
          <w:bCs/>
        </w:rPr>
        <w:t xml:space="preserve">claims about their safety, efficacy or contents are based solely on the </w:t>
      </w:r>
      <w:r w:rsidRPr="00FD0AB1">
        <w:rPr>
          <w:rFonts w:ascii="Century Gothic" w:hAnsi="Century Gothic"/>
          <w:b/>
          <w:bCs/>
        </w:rPr>
        <w:t>HHS Secretary</w:t>
      </w:r>
      <w:r w:rsidR="00D63882">
        <w:rPr>
          <w:rFonts w:ascii="Century Gothic" w:hAnsi="Century Gothic"/>
          <w:b/>
          <w:bCs/>
        </w:rPr>
        <w:t>’s</w:t>
      </w:r>
      <w:r w:rsidRPr="00FD0AB1">
        <w:rPr>
          <w:rFonts w:ascii="Century Gothic" w:hAnsi="Century Gothic"/>
          <w:b/>
          <w:bCs/>
        </w:rPr>
        <w:t xml:space="preserve"> opinion, which requires no supporting </w:t>
      </w:r>
      <w:r>
        <w:rPr>
          <w:rFonts w:ascii="Century Gothic" w:hAnsi="Century Gothic"/>
          <w:b/>
          <w:bCs/>
        </w:rPr>
        <w:t xml:space="preserve">scientific </w:t>
      </w:r>
      <w:r w:rsidRPr="00FD0AB1">
        <w:rPr>
          <w:rFonts w:ascii="Century Gothic" w:hAnsi="Century Gothic"/>
          <w:b/>
          <w:bCs/>
        </w:rPr>
        <w:t>evidence.</w:t>
      </w:r>
      <w:r>
        <w:rPr>
          <w:rFonts w:ascii="Century Gothic" w:hAnsi="Century Gothic"/>
          <w:b/>
          <w:bCs/>
        </w:rPr>
        <w:t xml:space="preserve">  Misrepresentation</w:t>
      </w:r>
      <w:r w:rsidR="00B16AB2">
        <w:rPr>
          <w:rFonts w:ascii="Century Gothic" w:hAnsi="Century Gothic"/>
          <w:b/>
          <w:bCs/>
        </w:rPr>
        <w:t>s</w:t>
      </w:r>
      <w:r>
        <w:rPr>
          <w:rFonts w:ascii="Century Gothic" w:hAnsi="Century Gothic"/>
          <w:b/>
          <w:bCs/>
        </w:rPr>
        <w:t xml:space="preserve"> of safety, efficacy or contents of EUA products </w:t>
      </w:r>
      <w:proofErr w:type="gramStart"/>
      <w:r>
        <w:rPr>
          <w:rFonts w:ascii="Century Gothic" w:hAnsi="Century Gothic"/>
          <w:b/>
          <w:bCs/>
        </w:rPr>
        <w:t>is</w:t>
      </w:r>
      <w:proofErr w:type="gramEnd"/>
      <w:r>
        <w:rPr>
          <w:rFonts w:ascii="Century Gothic" w:hAnsi="Century Gothic"/>
          <w:b/>
          <w:bCs/>
        </w:rPr>
        <w:t xml:space="preserve"> allowed by federal law.  Thus, claims provided by the federal health authorities or manufacturers cannot be considered reliable sources of information.  </w:t>
      </w:r>
    </w:p>
    <w:p w14:paraId="3DCAF71F" w14:textId="462266B1" w:rsidR="00FD0AB1" w:rsidRPr="00FD0AB1" w:rsidRDefault="00FD0AB1" w:rsidP="00FD0AB1">
      <w:pPr>
        <w:rPr>
          <w:rFonts w:ascii="Century Gothic" w:hAnsi="Century Gothic"/>
          <w:b/>
          <w:bCs/>
        </w:rPr>
      </w:pPr>
    </w:p>
    <w:p w14:paraId="5BF23728" w14:textId="77777777" w:rsidR="00FD0AB1" w:rsidRDefault="00FD0AB1" w:rsidP="00D3227D">
      <w:pPr>
        <w:rPr>
          <w:rFonts w:ascii="Century Gothic" w:hAnsi="Century Gothic"/>
          <w:b/>
          <w:bCs/>
        </w:rPr>
      </w:pPr>
    </w:p>
    <w:p w14:paraId="2761D6D8" w14:textId="77777777" w:rsidR="009639C1" w:rsidRDefault="009639C1" w:rsidP="00D3227D">
      <w:pPr>
        <w:rPr>
          <w:rFonts w:ascii="Century Gothic" w:hAnsi="Century Gothic"/>
          <w:b/>
          <w:bCs/>
        </w:rPr>
      </w:pPr>
    </w:p>
    <w:p w14:paraId="529EE74F" w14:textId="77777777" w:rsidR="009639C1" w:rsidRDefault="009639C1" w:rsidP="00D3227D">
      <w:pPr>
        <w:rPr>
          <w:rFonts w:ascii="Century Gothic" w:hAnsi="Century Gothic"/>
          <w:b/>
          <w:bCs/>
        </w:rPr>
      </w:pPr>
    </w:p>
    <w:p w14:paraId="271FFC71" w14:textId="77777777" w:rsidR="009639C1" w:rsidRDefault="009639C1" w:rsidP="00D3227D">
      <w:pPr>
        <w:rPr>
          <w:rFonts w:ascii="Century Gothic" w:hAnsi="Century Gothic"/>
          <w:b/>
          <w:bCs/>
        </w:rPr>
      </w:pPr>
    </w:p>
    <w:p w14:paraId="38529217" w14:textId="14F434D7" w:rsidR="009639C1" w:rsidRDefault="00E618C8" w:rsidP="00D3227D">
      <w:pPr>
        <w:rPr>
          <w:rFonts w:ascii="Century Gothic" w:hAnsi="Century Gothic"/>
          <w:b/>
          <w:bCs/>
        </w:rPr>
      </w:pPr>
      <w:r>
        <w:rPr>
          <w:rFonts w:ascii="Century Gothic" w:hAnsi="Century Gothic"/>
          <w:b/>
          <w:bCs/>
        </w:rPr>
        <w:t>References:</w:t>
      </w:r>
    </w:p>
    <w:p w14:paraId="30043277" w14:textId="78D7C560" w:rsidR="00E618C8" w:rsidRDefault="00E618C8" w:rsidP="00D3227D">
      <w:pPr>
        <w:rPr>
          <w:rFonts w:ascii="Century Gothic" w:hAnsi="Century Gothic"/>
          <w:b/>
          <w:bCs/>
        </w:rPr>
      </w:pPr>
      <w:r>
        <w:t xml:space="preserve">References Emergency Use Authorization of Medical Products and Related Authorities, Guidance for Industry and Other Stakeholders, January 2017 Procedural OMB Control No. 0910- 0595 Expiration Date 09/30/202, Emergency Use Authorization of Medical Products and Related Authorities | FDA or direct link at </w:t>
      </w:r>
      <w:proofErr w:type="gramStart"/>
      <w:r>
        <w:t>www.fda.gov/media/97321/download ,</w:t>
      </w:r>
      <w:proofErr w:type="gramEnd"/>
      <w:r>
        <w:t xml:space="preserve"> particularly pages 15, 22-25, 27,28, 33, and 39-41. Risk Evaluation and Mitigation Strategies, https://www.fda.gov/regulatory-information/search-fda-guidance-documents/fdas-application- statutory-factors- determining-when-rems-necessary; direct link at </w:t>
      </w:r>
      <w:proofErr w:type="gramStart"/>
      <w:r>
        <w:t>https://www.fda.gov/media/100307/download .</w:t>
      </w:r>
      <w:proofErr w:type="gramEnd"/>
      <w:r>
        <w:t xml:space="preserve"> Power point briefings on Section 564 of the FD&amp;C Act, https://www.fda.gov/emergency-preparedness-and-response/mcm-legal-regulatory-andpolicy-framework/mcm-related-legal-and-policy-presentations-publications-and-qas : 1) August 25th-27, 2020 FDA – CDC Joint Learning Session, Regulatory Updates on Use of Medical Countermeasures Preparedness Summit ; 2) February 10, 2021 PHEP Connects Webinar; 3) March 1, 2021, The American Bar Association Health Law Section; Overview of FDAs EUA Authority and COVID-19 Response; 4) March 18, 2021, The Council of State and Territorial Epidemiologists, Public Health Law Webinar; 5) April 21, 2021, Overview from FDA: 2021 Preparedness Summit; 6) May 15, 2021 PMDA (The Pennsylvania Society for Post- Acute and Long-Term Care Medicine), Spring Symposium; and 7) November 21, 2021, FDA's EUA Authorities, BARDA (Biomedical Advanced Research and Development Authority) Industry Day. Direct links at 1) 2022-09-15 08:43 | Archive of FDA (pagefreezer.com) 2) 202111_CDC PHEP Connect Webinar.pdf 3) 202103_ABA Health Law Section.EUA_.Overview.FDA_.3.1.21.pdf 4) 202103_CSTE_FDA_3_18_21.final__0.pdf 5) Ross Overview_2021_Preparedness_Summit_508KH.pdf 6) J_Ross_20210515_FDAsEUAs_Other_Related_Authorities_508_KH.pdf 7) 202111_FDAs_Emergency_Use_Authorities.pdf</w:t>
      </w:r>
    </w:p>
    <w:p w14:paraId="75966879" w14:textId="77777777" w:rsidR="009639C1" w:rsidRDefault="009639C1" w:rsidP="00D3227D">
      <w:pPr>
        <w:rPr>
          <w:rFonts w:ascii="Century Gothic" w:hAnsi="Century Gothic"/>
          <w:b/>
          <w:bCs/>
        </w:rPr>
      </w:pPr>
    </w:p>
    <w:p w14:paraId="3A1976E8" w14:textId="77777777" w:rsidR="008B35FE" w:rsidRDefault="008B35FE"/>
    <w:sectPr w:rsidR="008B35F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EE8B19" w14:textId="77777777" w:rsidR="00DD49FB" w:rsidRDefault="00DD49FB" w:rsidP="00B40C5F">
      <w:pPr>
        <w:spacing w:after="0" w:line="240" w:lineRule="auto"/>
      </w:pPr>
      <w:r>
        <w:separator/>
      </w:r>
    </w:p>
  </w:endnote>
  <w:endnote w:type="continuationSeparator" w:id="0">
    <w:p w14:paraId="0C6CB906" w14:textId="77777777" w:rsidR="00DD49FB" w:rsidRDefault="00DD49FB" w:rsidP="00B40C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CE5C01" w14:textId="77777777" w:rsidR="00DD49FB" w:rsidRDefault="00DD49FB" w:rsidP="00B40C5F">
      <w:pPr>
        <w:spacing w:after="0" w:line="240" w:lineRule="auto"/>
      </w:pPr>
      <w:r>
        <w:separator/>
      </w:r>
    </w:p>
  </w:footnote>
  <w:footnote w:type="continuationSeparator" w:id="0">
    <w:p w14:paraId="70C4EA56" w14:textId="77777777" w:rsidR="00DD49FB" w:rsidRDefault="00DD49FB" w:rsidP="00B40C5F">
      <w:pPr>
        <w:spacing w:after="0" w:line="240" w:lineRule="auto"/>
      </w:pPr>
      <w:r>
        <w:continuationSeparator/>
      </w:r>
    </w:p>
  </w:footnote>
  <w:footnote w:id="1">
    <w:p w14:paraId="512197F1" w14:textId="4125619B" w:rsidR="00B015FD" w:rsidRDefault="00B015FD">
      <w:pPr>
        <w:pStyle w:val="FootnoteText"/>
      </w:pPr>
      <w:r>
        <w:rPr>
          <w:rStyle w:val="FootnoteReference"/>
        </w:rPr>
        <w:footnoteRef/>
      </w:r>
      <w:r>
        <w:t xml:space="preserve"> </w:t>
      </w:r>
      <w:r w:rsidRPr="00B015FD">
        <w:rPr>
          <w:rFonts w:ascii="Century Gothic" w:hAnsi="Century Gothic"/>
        </w:rPr>
        <w:t>See, e.g., 21 U.S.C. § 355 (drugs); 42 U.S.C. § 262 (biologics).</w:t>
      </w:r>
    </w:p>
  </w:footnote>
  <w:footnote w:id="2">
    <w:p w14:paraId="654B819E" w14:textId="5D0FB8BE" w:rsidR="00C72166" w:rsidRDefault="00C72166">
      <w:pPr>
        <w:pStyle w:val="FootnoteText"/>
      </w:pPr>
      <w:r>
        <w:rPr>
          <w:rStyle w:val="FootnoteReference"/>
        </w:rPr>
        <w:footnoteRef/>
      </w:r>
      <w:r>
        <w:t xml:space="preserve"> CFR </w:t>
      </w:r>
      <w:r w:rsidRPr="00C72166">
        <w:t>Title 21, including sections in parts 1-99, 200-299, 300-499, 600-799, and 800-1299.</w:t>
      </w:r>
    </w:p>
  </w:footnote>
  <w:footnote w:id="3">
    <w:p w14:paraId="4680C5C5" w14:textId="5747F97E" w:rsidR="00692B65" w:rsidRDefault="00692B65">
      <w:pPr>
        <w:pStyle w:val="FootnoteText"/>
      </w:pPr>
      <w:r>
        <w:rPr>
          <w:rStyle w:val="FootnoteReference"/>
        </w:rPr>
        <w:footnoteRef/>
      </w:r>
      <w:r>
        <w:t xml:space="preserve"> Section 564 FD&amp;C Act</w:t>
      </w:r>
      <w:r w:rsidR="00F54CA1">
        <w:t>. Note that t</w:t>
      </w:r>
      <w:r w:rsidR="00F54CA1" w:rsidRPr="00F54CA1">
        <w:t xml:space="preserve">he EUA pathway should not be confused with </w:t>
      </w:r>
      <w:r w:rsidR="00693B7F">
        <w:t xml:space="preserve">the </w:t>
      </w:r>
      <w:r w:rsidR="00F54CA1" w:rsidRPr="00F54CA1">
        <w:t xml:space="preserve">“Expanded Access Use” </w:t>
      </w:r>
      <w:r w:rsidR="00F54CA1">
        <w:t xml:space="preserve">regulatory </w:t>
      </w:r>
      <w:r w:rsidR="00F54CA1" w:rsidRPr="00F54CA1">
        <w:t>pathway which is often colloquially referred to as an “emergency use”.  The expanded access is an investigational pathway and is regulated in the same manner as all normal drug approvals.</w:t>
      </w:r>
      <w:r w:rsidR="00F54CA1">
        <w:t xml:space="preserve"> (</w:t>
      </w:r>
      <w:r w:rsidR="00F54CA1" w:rsidRPr="00F54CA1">
        <w:t>21 CFR 312.310</w:t>
      </w:r>
      <w:r w:rsidR="00F54CA1">
        <w:t>-320)</w:t>
      </w:r>
    </w:p>
  </w:footnote>
  <w:footnote w:id="4">
    <w:p w14:paraId="6AAE6DD8" w14:textId="0A95F7F4" w:rsidR="004A68D7" w:rsidRDefault="004A68D7">
      <w:pPr>
        <w:pStyle w:val="FootnoteText"/>
      </w:pPr>
      <w:r>
        <w:rPr>
          <w:rStyle w:val="FootnoteReference"/>
        </w:rPr>
        <w:footnoteRef/>
      </w:r>
      <w:r>
        <w:t xml:space="preserve"> </w:t>
      </w:r>
      <w:r w:rsidRPr="00B015FD">
        <w:rPr>
          <w:rFonts w:ascii="Century Gothic" w:hAnsi="Century Gothic"/>
        </w:rPr>
        <w:t>21 U.S.C. § 360bbb-3(a)(1), (b).</w:t>
      </w:r>
    </w:p>
  </w:footnote>
  <w:footnote w:id="5">
    <w:p w14:paraId="6F3FD10E" w14:textId="3006E081" w:rsidR="00A94DCF" w:rsidRPr="00E3781D" w:rsidRDefault="00A94DCF" w:rsidP="00E3781D">
      <w:pPr>
        <w:rPr>
          <w:rFonts w:ascii="Century Gothic" w:hAnsi="Century Gothic"/>
          <w:sz w:val="20"/>
          <w:szCs w:val="20"/>
        </w:rPr>
      </w:pPr>
      <w:r>
        <w:rPr>
          <w:rStyle w:val="FootnoteReference"/>
        </w:rPr>
        <w:footnoteRef/>
      </w:r>
      <w:r>
        <w:t xml:space="preserve"> </w:t>
      </w:r>
      <w:r w:rsidRPr="00E3781D">
        <w:rPr>
          <w:rFonts w:ascii="Century Gothic" w:hAnsi="Century Gothic"/>
          <w:sz w:val="20"/>
          <w:szCs w:val="20"/>
        </w:rPr>
        <w:t>21 USC 360bbb-3(k): If a product is the subject of an authorization under this section, the use of such product within the scope of the authorization shall not be considered to constitute a clinical investigation for purposes of section 355(</w:t>
      </w:r>
      <w:proofErr w:type="spellStart"/>
      <w:r w:rsidRPr="00E3781D">
        <w:rPr>
          <w:rFonts w:ascii="Century Gothic" w:hAnsi="Century Gothic"/>
          <w:sz w:val="20"/>
          <w:szCs w:val="20"/>
        </w:rPr>
        <w:t>i</w:t>
      </w:r>
      <w:proofErr w:type="spellEnd"/>
      <w:r w:rsidRPr="00E3781D">
        <w:rPr>
          <w:rFonts w:ascii="Century Gothic" w:hAnsi="Century Gothic"/>
          <w:sz w:val="20"/>
          <w:szCs w:val="20"/>
        </w:rPr>
        <w:t>), 360b(j), or 360j(g) of this title or any other provision of this chapter or section 351 of the Public Health Service Act [42 U.S.C. 262].</w:t>
      </w:r>
    </w:p>
  </w:footnote>
  <w:footnote w:id="6">
    <w:p w14:paraId="76797A7A" w14:textId="1AB0F882" w:rsidR="00B21765" w:rsidRDefault="00B21765">
      <w:pPr>
        <w:pStyle w:val="FootnoteText"/>
      </w:pPr>
      <w:r>
        <w:rPr>
          <w:rStyle w:val="FootnoteReference"/>
        </w:rPr>
        <w:footnoteRef/>
      </w:r>
      <w:r>
        <w:t xml:space="preserve"> </w:t>
      </w:r>
      <w:r w:rsidRPr="00A94DCF">
        <w:rPr>
          <w:rFonts w:ascii="Century Gothic" w:hAnsi="Century Gothic"/>
        </w:rPr>
        <w:t>21 U.S.C. § 360bbb-3(c)(2)(A)</w:t>
      </w:r>
    </w:p>
  </w:footnote>
  <w:footnote w:id="7">
    <w:p w14:paraId="7936C31E" w14:textId="4F05D2C8" w:rsidR="006D1027" w:rsidRDefault="006D1027">
      <w:pPr>
        <w:pStyle w:val="FootnoteText"/>
      </w:pPr>
      <w:r>
        <w:rPr>
          <w:rStyle w:val="FootnoteReference"/>
        </w:rPr>
        <w:footnoteRef/>
      </w:r>
      <w:r>
        <w:t xml:space="preserve"> </w:t>
      </w:r>
      <w:r w:rsidRPr="00A94DCF">
        <w:rPr>
          <w:rFonts w:ascii="Century Gothic" w:hAnsi="Century Gothic"/>
        </w:rPr>
        <w:t>21 U.S.C. § 360bbb3(c)(2)(B)</w:t>
      </w:r>
    </w:p>
  </w:footnote>
  <w:footnote w:id="8">
    <w:p w14:paraId="02B620CC" w14:textId="21CA2C9D" w:rsidR="0066229F" w:rsidRDefault="0066229F">
      <w:pPr>
        <w:pStyle w:val="FootnoteText"/>
      </w:pPr>
      <w:r>
        <w:rPr>
          <w:rStyle w:val="FootnoteReference"/>
        </w:rPr>
        <w:footnoteRef/>
      </w:r>
      <w:r>
        <w:t xml:space="preserve"> </w:t>
      </w:r>
      <w:r w:rsidRPr="00A94DCF">
        <w:rPr>
          <w:rFonts w:ascii="Century Gothic" w:hAnsi="Century Gothic"/>
        </w:rPr>
        <w:t>21 U.S.C. § 355(d)(2)</w:t>
      </w:r>
      <w:r w:rsidR="006D1027">
        <w:rPr>
          <w:rFonts w:ascii="Century Gothic" w:hAnsi="Century Gothic"/>
        </w:rPr>
        <w:t xml:space="preserve">; </w:t>
      </w:r>
      <w:r w:rsidR="006D1027" w:rsidRPr="00A94DCF">
        <w:rPr>
          <w:rFonts w:ascii="Century Gothic" w:hAnsi="Century Gothic"/>
        </w:rPr>
        <w:t>See also 42 U.S.C. § 262(a)(</w:t>
      </w:r>
      <w:proofErr w:type="gramStart"/>
      <w:r w:rsidR="006D1027" w:rsidRPr="00A94DCF">
        <w:rPr>
          <w:rFonts w:ascii="Century Gothic" w:hAnsi="Century Gothic"/>
        </w:rPr>
        <w:t>2)(</w:t>
      </w:r>
      <w:proofErr w:type="gramEnd"/>
      <w:r w:rsidR="006D1027" w:rsidRPr="00A94DCF">
        <w:rPr>
          <w:rFonts w:ascii="Century Gothic" w:hAnsi="Century Gothic"/>
        </w:rPr>
        <w:t>RB) (biologic approved only if it actually “is . . . safe”)</w:t>
      </w:r>
      <w:r w:rsidR="006D1027">
        <w:rPr>
          <w:rFonts w:ascii="Century Gothic" w:hAnsi="Century Gothic"/>
        </w:rPr>
        <w:t>.</w:t>
      </w:r>
    </w:p>
  </w:footnote>
  <w:footnote w:id="9">
    <w:p w14:paraId="430BAA20" w14:textId="78C9AA28" w:rsidR="00D60A14" w:rsidRDefault="00D60A14">
      <w:pPr>
        <w:pStyle w:val="FootnoteText"/>
      </w:pPr>
      <w:r>
        <w:rPr>
          <w:rStyle w:val="FootnoteReference"/>
        </w:rPr>
        <w:footnoteRef/>
      </w:r>
      <w:r>
        <w:t xml:space="preserve"> </w:t>
      </w:r>
      <w:r w:rsidRPr="00D60A14">
        <w:rPr>
          <w:rFonts w:ascii="Century Gothic" w:hAnsi="Century Gothic"/>
        </w:rPr>
        <w:t>21 U.S.C. § 360bbb-3(e)(1)(A)(II)</w:t>
      </w:r>
    </w:p>
  </w:footnote>
  <w:footnote w:id="10">
    <w:p w14:paraId="0C1A455F" w14:textId="199C6F29" w:rsidR="00C959FE" w:rsidRDefault="00C959FE">
      <w:pPr>
        <w:pStyle w:val="FootnoteText"/>
      </w:pPr>
      <w:r>
        <w:rPr>
          <w:rStyle w:val="FootnoteReference"/>
        </w:rPr>
        <w:footnoteRef/>
      </w:r>
      <w:r>
        <w:t xml:space="preserve"> </w:t>
      </w:r>
      <w:r w:rsidRPr="00C959FE">
        <w:rPr>
          <w:rFonts w:ascii="Century Gothic" w:hAnsi="Century Gothic"/>
        </w:rPr>
        <w:t>21 USC 360bbb-3a(c).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E91EC4"/>
    <w:multiLevelType w:val="multilevel"/>
    <w:tmpl w:val="EECC9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373BEE"/>
    <w:multiLevelType w:val="multilevel"/>
    <w:tmpl w:val="A0124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CB612F"/>
    <w:multiLevelType w:val="multilevel"/>
    <w:tmpl w:val="2CC83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B2C71C9"/>
    <w:multiLevelType w:val="hybridMultilevel"/>
    <w:tmpl w:val="FA42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3694678">
    <w:abstractNumId w:val="2"/>
  </w:num>
  <w:num w:numId="2" w16cid:durableId="1819104110">
    <w:abstractNumId w:val="3"/>
  </w:num>
  <w:num w:numId="3" w16cid:durableId="1801419144">
    <w:abstractNumId w:val="1"/>
  </w:num>
  <w:num w:numId="4" w16cid:durableId="1668678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27D"/>
    <w:rsid w:val="00015D8E"/>
    <w:rsid w:val="00044DB6"/>
    <w:rsid w:val="000B5498"/>
    <w:rsid w:val="000F1659"/>
    <w:rsid w:val="00154EDC"/>
    <w:rsid w:val="0016655D"/>
    <w:rsid w:val="001D66DC"/>
    <w:rsid w:val="00254B2C"/>
    <w:rsid w:val="002A5163"/>
    <w:rsid w:val="002B5AA3"/>
    <w:rsid w:val="002D6B28"/>
    <w:rsid w:val="00342F3C"/>
    <w:rsid w:val="00366A7D"/>
    <w:rsid w:val="003B2EE5"/>
    <w:rsid w:val="003B7F7D"/>
    <w:rsid w:val="003C74BD"/>
    <w:rsid w:val="0043083C"/>
    <w:rsid w:val="00437A7A"/>
    <w:rsid w:val="00444D54"/>
    <w:rsid w:val="00451060"/>
    <w:rsid w:val="00483932"/>
    <w:rsid w:val="0049388D"/>
    <w:rsid w:val="004A68D7"/>
    <w:rsid w:val="004E6BC9"/>
    <w:rsid w:val="005507A2"/>
    <w:rsid w:val="00592114"/>
    <w:rsid w:val="005E41BA"/>
    <w:rsid w:val="00651E62"/>
    <w:rsid w:val="0066229F"/>
    <w:rsid w:val="00692B65"/>
    <w:rsid w:val="00693B7F"/>
    <w:rsid w:val="00693C7C"/>
    <w:rsid w:val="006D1027"/>
    <w:rsid w:val="00734937"/>
    <w:rsid w:val="00754D80"/>
    <w:rsid w:val="00784C85"/>
    <w:rsid w:val="00792220"/>
    <w:rsid w:val="007B15FA"/>
    <w:rsid w:val="007E16C2"/>
    <w:rsid w:val="0080580D"/>
    <w:rsid w:val="00891E92"/>
    <w:rsid w:val="00894C48"/>
    <w:rsid w:val="00896455"/>
    <w:rsid w:val="008B35FE"/>
    <w:rsid w:val="008D37CC"/>
    <w:rsid w:val="00923D08"/>
    <w:rsid w:val="009526AA"/>
    <w:rsid w:val="009639C1"/>
    <w:rsid w:val="00981B60"/>
    <w:rsid w:val="009F3AD0"/>
    <w:rsid w:val="00A51959"/>
    <w:rsid w:val="00A55A37"/>
    <w:rsid w:val="00A67967"/>
    <w:rsid w:val="00A8162D"/>
    <w:rsid w:val="00A94DCF"/>
    <w:rsid w:val="00AD264E"/>
    <w:rsid w:val="00B015FD"/>
    <w:rsid w:val="00B16AB2"/>
    <w:rsid w:val="00B21765"/>
    <w:rsid w:val="00B40C5F"/>
    <w:rsid w:val="00B45ED0"/>
    <w:rsid w:val="00B76C01"/>
    <w:rsid w:val="00B8355A"/>
    <w:rsid w:val="00C72166"/>
    <w:rsid w:val="00C959FE"/>
    <w:rsid w:val="00CD0EDF"/>
    <w:rsid w:val="00CF4309"/>
    <w:rsid w:val="00D3227D"/>
    <w:rsid w:val="00D37182"/>
    <w:rsid w:val="00D45F44"/>
    <w:rsid w:val="00D4676D"/>
    <w:rsid w:val="00D60A14"/>
    <w:rsid w:val="00D63882"/>
    <w:rsid w:val="00D712F0"/>
    <w:rsid w:val="00D9593E"/>
    <w:rsid w:val="00DD49FB"/>
    <w:rsid w:val="00DF04AE"/>
    <w:rsid w:val="00E3781D"/>
    <w:rsid w:val="00E618C8"/>
    <w:rsid w:val="00E92385"/>
    <w:rsid w:val="00EB6430"/>
    <w:rsid w:val="00ED72D7"/>
    <w:rsid w:val="00F4348C"/>
    <w:rsid w:val="00F47600"/>
    <w:rsid w:val="00F51376"/>
    <w:rsid w:val="00F54CA1"/>
    <w:rsid w:val="00FB3EBE"/>
    <w:rsid w:val="00FD0AB1"/>
    <w:rsid w:val="00FD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5313F"/>
  <w15:chartTrackingRefBased/>
  <w15:docId w15:val="{3645FD75-261A-402F-947C-1627FEDD3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27D"/>
  </w:style>
  <w:style w:type="paragraph" w:styleId="Heading4">
    <w:name w:val="heading 4"/>
    <w:basedOn w:val="Normal"/>
    <w:link w:val="Heading4Char"/>
    <w:uiPriority w:val="9"/>
    <w:semiHidden/>
    <w:unhideWhenUsed/>
    <w:qFormat/>
    <w:rsid w:val="00D3227D"/>
    <w:pPr>
      <w:spacing w:before="100" w:beforeAutospacing="1" w:after="100" w:afterAutospacing="1" w:line="240" w:lineRule="auto"/>
      <w:outlineLvl w:val="3"/>
    </w:pPr>
    <w:rPr>
      <w:rFonts w:ascii="Calibri" w:hAnsi="Calibri" w:cs="Calibri"/>
      <w:b/>
      <w:bCs/>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sid w:val="00D3227D"/>
    <w:rPr>
      <w:rFonts w:ascii="Calibri" w:hAnsi="Calibri" w:cs="Calibri"/>
      <w:b/>
      <w:bCs/>
      <w:kern w:val="0"/>
      <w:sz w:val="24"/>
      <w:szCs w:val="24"/>
      <w14:ligatures w14:val="none"/>
    </w:rPr>
  </w:style>
  <w:style w:type="character" w:styleId="Hyperlink">
    <w:name w:val="Hyperlink"/>
    <w:basedOn w:val="DefaultParagraphFont"/>
    <w:uiPriority w:val="99"/>
    <w:unhideWhenUsed/>
    <w:rsid w:val="00D3227D"/>
    <w:rPr>
      <w:color w:val="0000FF"/>
      <w:u w:val="single"/>
    </w:rPr>
  </w:style>
  <w:style w:type="paragraph" w:styleId="NormalWeb">
    <w:name w:val="Normal (Web)"/>
    <w:basedOn w:val="Normal"/>
    <w:uiPriority w:val="99"/>
    <w:semiHidden/>
    <w:unhideWhenUsed/>
    <w:rsid w:val="00D3227D"/>
    <w:pPr>
      <w:spacing w:before="100" w:beforeAutospacing="1" w:after="100" w:afterAutospacing="1" w:line="240" w:lineRule="auto"/>
    </w:pPr>
    <w:rPr>
      <w:rFonts w:ascii="Calibri" w:hAnsi="Calibri" w:cs="Calibri"/>
      <w:kern w:val="0"/>
      <w14:ligatures w14:val="none"/>
    </w:rPr>
  </w:style>
  <w:style w:type="character" w:styleId="UnresolvedMention">
    <w:name w:val="Unresolved Mention"/>
    <w:basedOn w:val="DefaultParagraphFont"/>
    <w:uiPriority w:val="99"/>
    <w:semiHidden/>
    <w:unhideWhenUsed/>
    <w:rsid w:val="003B2EE5"/>
    <w:rPr>
      <w:color w:val="605E5C"/>
      <w:shd w:val="clear" w:color="auto" w:fill="E1DFDD"/>
    </w:rPr>
  </w:style>
  <w:style w:type="paragraph" w:styleId="ListParagraph">
    <w:name w:val="List Paragraph"/>
    <w:basedOn w:val="Normal"/>
    <w:uiPriority w:val="34"/>
    <w:qFormat/>
    <w:rsid w:val="009F3AD0"/>
    <w:pPr>
      <w:ind w:left="720"/>
      <w:contextualSpacing/>
    </w:pPr>
  </w:style>
  <w:style w:type="paragraph" w:styleId="FootnoteText">
    <w:name w:val="footnote text"/>
    <w:basedOn w:val="Normal"/>
    <w:link w:val="FootnoteTextChar"/>
    <w:uiPriority w:val="99"/>
    <w:semiHidden/>
    <w:unhideWhenUsed/>
    <w:rsid w:val="00B40C5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0C5F"/>
    <w:rPr>
      <w:sz w:val="20"/>
      <w:szCs w:val="20"/>
    </w:rPr>
  </w:style>
  <w:style w:type="character" w:styleId="FootnoteReference">
    <w:name w:val="footnote reference"/>
    <w:basedOn w:val="DefaultParagraphFont"/>
    <w:uiPriority w:val="99"/>
    <w:semiHidden/>
    <w:unhideWhenUsed/>
    <w:rsid w:val="00B40C5F"/>
    <w:rPr>
      <w:vertAlign w:val="superscript"/>
    </w:rPr>
  </w:style>
  <w:style w:type="character" w:styleId="Strong">
    <w:name w:val="Strong"/>
    <w:basedOn w:val="DefaultParagraphFont"/>
    <w:uiPriority w:val="22"/>
    <w:qFormat/>
    <w:rsid w:val="008B35FE"/>
    <w:rPr>
      <w:b/>
      <w:bCs/>
    </w:rPr>
  </w:style>
  <w:style w:type="character" w:styleId="Emphasis">
    <w:name w:val="Emphasis"/>
    <w:basedOn w:val="DefaultParagraphFont"/>
    <w:uiPriority w:val="20"/>
    <w:qFormat/>
    <w:rsid w:val="008B35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13569">
      <w:bodyDiv w:val="1"/>
      <w:marLeft w:val="0"/>
      <w:marRight w:val="0"/>
      <w:marTop w:val="0"/>
      <w:marBottom w:val="0"/>
      <w:divBdr>
        <w:top w:val="none" w:sz="0" w:space="0" w:color="auto"/>
        <w:left w:val="none" w:sz="0" w:space="0" w:color="auto"/>
        <w:bottom w:val="none" w:sz="0" w:space="0" w:color="auto"/>
        <w:right w:val="none" w:sz="0" w:space="0" w:color="auto"/>
      </w:divBdr>
    </w:div>
    <w:div w:id="993026229">
      <w:bodyDiv w:val="1"/>
      <w:marLeft w:val="0"/>
      <w:marRight w:val="0"/>
      <w:marTop w:val="0"/>
      <w:marBottom w:val="0"/>
      <w:divBdr>
        <w:top w:val="none" w:sz="0" w:space="0" w:color="auto"/>
        <w:left w:val="none" w:sz="0" w:space="0" w:color="auto"/>
        <w:bottom w:val="none" w:sz="0" w:space="0" w:color="auto"/>
        <w:right w:val="none" w:sz="0" w:space="0" w:color="auto"/>
      </w:divBdr>
      <w:divsChild>
        <w:div w:id="887181787">
          <w:marLeft w:val="0"/>
          <w:marRight w:val="0"/>
          <w:marTop w:val="0"/>
          <w:marBottom w:val="0"/>
          <w:divBdr>
            <w:top w:val="none" w:sz="0" w:space="0" w:color="auto"/>
            <w:left w:val="none" w:sz="0" w:space="0" w:color="auto"/>
            <w:bottom w:val="none" w:sz="0" w:space="0" w:color="auto"/>
            <w:right w:val="none" w:sz="0" w:space="0" w:color="auto"/>
          </w:divBdr>
        </w:div>
        <w:div w:id="1402363049">
          <w:marLeft w:val="0"/>
          <w:marRight w:val="0"/>
          <w:marTop w:val="0"/>
          <w:marBottom w:val="0"/>
          <w:divBdr>
            <w:top w:val="none" w:sz="0" w:space="0" w:color="auto"/>
            <w:left w:val="none" w:sz="0" w:space="0" w:color="auto"/>
            <w:bottom w:val="none" w:sz="0" w:space="0" w:color="auto"/>
            <w:right w:val="none" w:sz="0" w:space="0" w:color="auto"/>
          </w:divBdr>
        </w:div>
        <w:div w:id="1615598106">
          <w:marLeft w:val="0"/>
          <w:marRight w:val="0"/>
          <w:marTop w:val="0"/>
          <w:marBottom w:val="0"/>
          <w:divBdr>
            <w:top w:val="none" w:sz="0" w:space="0" w:color="auto"/>
            <w:left w:val="none" w:sz="0" w:space="0" w:color="auto"/>
            <w:bottom w:val="none" w:sz="0" w:space="0" w:color="auto"/>
            <w:right w:val="none" w:sz="0" w:space="0" w:color="auto"/>
          </w:divBdr>
        </w:div>
        <w:div w:id="180901384">
          <w:marLeft w:val="0"/>
          <w:marRight w:val="0"/>
          <w:marTop w:val="0"/>
          <w:marBottom w:val="0"/>
          <w:divBdr>
            <w:top w:val="none" w:sz="0" w:space="0" w:color="auto"/>
            <w:left w:val="none" w:sz="0" w:space="0" w:color="auto"/>
            <w:bottom w:val="none" w:sz="0" w:space="0" w:color="auto"/>
            <w:right w:val="none" w:sz="0" w:space="0" w:color="auto"/>
          </w:divBdr>
        </w:div>
        <w:div w:id="304161901">
          <w:marLeft w:val="0"/>
          <w:marRight w:val="0"/>
          <w:marTop w:val="0"/>
          <w:marBottom w:val="0"/>
          <w:divBdr>
            <w:top w:val="none" w:sz="0" w:space="0" w:color="auto"/>
            <w:left w:val="none" w:sz="0" w:space="0" w:color="auto"/>
            <w:bottom w:val="none" w:sz="0" w:space="0" w:color="auto"/>
            <w:right w:val="none" w:sz="0" w:space="0" w:color="auto"/>
          </w:divBdr>
        </w:div>
        <w:div w:id="2024626941">
          <w:marLeft w:val="0"/>
          <w:marRight w:val="0"/>
          <w:marTop w:val="0"/>
          <w:marBottom w:val="0"/>
          <w:divBdr>
            <w:top w:val="none" w:sz="0" w:space="0" w:color="auto"/>
            <w:left w:val="none" w:sz="0" w:space="0" w:color="auto"/>
            <w:bottom w:val="none" w:sz="0" w:space="0" w:color="auto"/>
            <w:right w:val="none" w:sz="0" w:space="0" w:color="auto"/>
          </w:divBdr>
        </w:div>
        <w:div w:id="1327443361">
          <w:marLeft w:val="0"/>
          <w:marRight w:val="0"/>
          <w:marTop w:val="0"/>
          <w:marBottom w:val="0"/>
          <w:divBdr>
            <w:top w:val="none" w:sz="0" w:space="0" w:color="auto"/>
            <w:left w:val="none" w:sz="0" w:space="0" w:color="auto"/>
            <w:bottom w:val="none" w:sz="0" w:space="0" w:color="auto"/>
            <w:right w:val="none" w:sz="0" w:space="0" w:color="auto"/>
          </w:divBdr>
        </w:div>
      </w:divsChild>
    </w:div>
    <w:div w:id="1385984051">
      <w:bodyDiv w:val="1"/>
      <w:marLeft w:val="0"/>
      <w:marRight w:val="0"/>
      <w:marTop w:val="0"/>
      <w:marBottom w:val="0"/>
      <w:divBdr>
        <w:top w:val="none" w:sz="0" w:space="0" w:color="auto"/>
        <w:left w:val="none" w:sz="0" w:space="0" w:color="auto"/>
        <w:bottom w:val="none" w:sz="0" w:space="0" w:color="auto"/>
        <w:right w:val="none" w:sz="0" w:space="0" w:color="auto"/>
      </w:divBdr>
      <w:divsChild>
        <w:div w:id="2108648094">
          <w:marLeft w:val="0"/>
          <w:marRight w:val="0"/>
          <w:marTop w:val="0"/>
          <w:marBottom w:val="0"/>
          <w:divBdr>
            <w:top w:val="none" w:sz="0" w:space="0" w:color="auto"/>
            <w:left w:val="none" w:sz="0" w:space="0" w:color="auto"/>
            <w:bottom w:val="none" w:sz="0" w:space="0" w:color="auto"/>
            <w:right w:val="none" w:sz="0" w:space="0" w:color="auto"/>
          </w:divBdr>
        </w:div>
        <w:div w:id="1390423059">
          <w:marLeft w:val="0"/>
          <w:marRight w:val="0"/>
          <w:marTop w:val="0"/>
          <w:marBottom w:val="0"/>
          <w:divBdr>
            <w:top w:val="none" w:sz="0" w:space="0" w:color="auto"/>
            <w:left w:val="none" w:sz="0" w:space="0" w:color="auto"/>
            <w:bottom w:val="none" w:sz="0" w:space="0" w:color="auto"/>
            <w:right w:val="none" w:sz="0" w:space="0" w:color="auto"/>
          </w:divBdr>
        </w:div>
        <w:div w:id="1541823960">
          <w:marLeft w:val="0"/>
          <w:marRight w:val="0"/>
          <w:marTop w:val="0"/>
          <w:marBottom w:val="0"/>
          <w:divBdr>
            <w:top w:val="none" w:sz="0" w:space="0" w:color="auto"/>
            <w:left w:val="none" w:sz="0" w:space="0" w:color="auto"/>
            <w:bottom w:val="none" w:sz="0" w:space="0" w:color="auto"/>
            <w:right w:val="none" w:sz="0" w:space="0" w:color="auto"/>
          </w:divBdr>
        </w:div>
        <w:div w:id="1220633660">
          <w:marLeft w:val="0"/>
          <w:marRight w:val="0"/>
          <w:marTop w:val="0"/>
          <w:marBottom w:val="0"/>
          <w:divBdr>
            <w:top w:val="none" w:sz="0" w:space="0" w:color="auto"/>
            <w:left w:val="none" w:sz="0" w:space="0" w:color="auto"/>
            <w:bottom w:val="none" w:sz="0" w:space="0" w:color="auto"/>
            <w:right w:val="none" w:sz="0" w:space="0" w:color="auto"/>
          </w:divBdr>
        </w:div>
        <w:div w:id="2010593575">
          <w:marLeft w:val="0"/>
          <w:marRight w:val="0"/>
          <w:marTop w:val="0"/>
          <w:marBottom w:val="0"/>
          <w:divBdr>
            <w:top w:val="none" w:sz="0" w:space="0" w:color="auto"/>
            <w:left w:val="none" w:sz="0" w:space="0" w:color="auto"/>
            <w:bottom w:val="none" w:sz="0" w:space="0" w:color="auto"/>
            <w:right w:val="none" w:sz="0" w:space="0" w:color="auto"/>
          </w:divBdr>
        </w:div>
        <w:div w:id="821166444">
          <w:marLeft w:val="0"/>
          <w:marRight w:val="0"/>
          <w:marTop w:val="0"/>
          <w:marBottom w:val="0"/>
          <w:divBdr>
            <w:top w:val="none" w:sz="0" w:space="0" w:color="auto"/>
            <w:left w:val="none" w:sz="0" w:space="0" w:color="auto"/>
            <w:bottom w:val="none" w:sz="0" w:space="0" w:color="auto"/>
            <w:right w:val="none" w:sz="0" w:space="0" w:color="auto"/>
          </w:divBdr>
        </w:div>
        <w:div w:id="317537092">
          <w:marLeft w:val="0"/>
          <w:marRight w:val="0"/>
          <w:marTop w:val="0"/>
          <w:marBottom w:val="0"/>
          <w:divBdr>
            <w:top w:val="none" w:sz="0" w:space="0" w:color="auto"/>
            <w:left w:val="none" w:sz="0" w:space="0" w:color="auto"/>
            <w:bottom w:val="none" w:sz="0" w:space="0" w:color="auto"/>
            <w:right w:val="none" w:sz="0" w:space="0" w:color="auto"/>
          </w:divBdr>
        </w:div>
        <w:div w:id="1265844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38167-AF87-49A5-93CC-862B513B9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1017</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Latypova</dc:creator>
  <cp:keywords/>
  <dc:description/>
  <cp:lastModifiedBy>John Tribble</cp:lastModifiedBy>
  <cp:revision>2</cp:revision>
  <dcterms:created xsi:type="dcterms:W3CDTF">2024-10-11T15:17:00Z</dcterms:created>
  <dcterms:modified xsi:type="dcterms:W3CDTF">2024-10-11T15:17:00Z</dcterms:modified>
</cp:coreProperties>
</file>